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6289" w14:textId="57EBAADE" w:rsidR="00D05E53" w:rsidRPr="00A14F10" w:rsidRDefault="00D05E53" w:rsidP="00B253E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Rethinking assessment: </w:t>
      </w:r>
      <w:r w:rsidR="00974A44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putting psycholog</w:t>
      </w:r>
      <w:r w:rsidR="00826F25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="00974A44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work to </w:t>
      </w:r>
      <w:r w:rsidR="00D553B8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build learners’ </w:t>
      </w:r>
      <w:r w:rsidR="000A29F8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creativ</w:t>
      </w:r>
      <w:r w:rsidR="00826F25"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ity</w:t>
      </w:r>
    </w:p>
    <w:p w14:paraId="39F96179" w14:textId="3844FDC5" w:rsidR="00A14F10" w:rsidRDefault="00D553B8" w:rsidP="00B253E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Paul Sowden</w:t>
      </w:r>
    </w:p>
    <w:p w14:paraId="49C84E66" w14:textId="32EA689F" w:rsidR="00B253E4" w:rsidRDefault="00B253E4" w:rsidP="00B253E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Psychology, University of Winchester</w:t>
      </w:r>
    </w:p>
    <w:p w14:paraId="1007510D" w14:textId="65BC638B" w:rsidR="00A14F10" w:rsidRDefault="00A14F10" w:rsidP="00B253E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3A5CA" w14:textId="2CBC31CB" w:rsidR="00B253E4" w:rsidRPr="00B253E4" w:rsidRDefault="00B253E4" w:rsidP="00B253E4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Accepted for publication in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 of Education 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15/2/22</w:t>
      </w:r>
    </w:p>
    <w:p w14:paraId="1A3EA307" w14:textId="77777777" w:rsidR="00B253E4" w:rsidRPr="00B253E4" w:rsidRDefault="00B253E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E837C" w14:textId="6AA881B2" w:rsidR="00C34B3E" w:rsidRPr="00A14F10" w:rsidRDefault="00C34B3E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25FB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timely and important article, Lucas </w:t>
      </w:r>
      <w:r w:rsidR="00974A4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(2022)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contends that there is an urgent need to reconsider the goals of educational curricula and the ways in which assessment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reflect these goals arguing that the kinds of skills, dispositions</w:t>
      </w:r>
      <w:r w:rsidR="000849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capabilities that are valued in our society post-education are not adequately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universally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assessed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within our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school education system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07135F" w14:textId="5D8473FC" w:rsidR="00A7019E" w:rsidRPr="00A14F10" w:rsidRDefault="00C34B3E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Further, rather than tak</w:t>
      </w:r>
      <w:r w:rsidR="00C25FB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sides in </w:t>
      </w:r>
      <w:r w:rsidR="009876B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ongoing debate </w:t>
      </w:r>
      <w:r w:rsidR="00C25FB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relative importance of education that is focused on knowledge vs skills and/or dispositions, Lucas seeks to link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all three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FB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arguing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that skills are the means by which knowledge is applied and through which dispositions are formed.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 doing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Lucas </w:t>
      </w:r>
      <w:r w:rsidR="00C25FB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opens up discussion about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ways in which assessment can be used to evidence the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full range of learners’ capabilities in a more holistic, integrated</w:t>
      </w:r>
      <w:r w:rsidR="000849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contextualised manner. In service of this </w:t>
      </w:r>
      <w:r w:rsidR="009876B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discussion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Lucas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a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wide-ranging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palette of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</w:t>
      </w:r>
      <w:r w:rsidR="00FF2D6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approaches that can be drawn upon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to evidence these capabilities.</w:t>
      </w:r>
    </w:p>
    <w:p w14:paraId="5C7F0FDB" w14:textId="0EC7EFAF" w:rsidR="00A7019E" w:rsidRPr="00A14F10" w:rsidRDefault="00C25FBF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 to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 of rethinking assessment will be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careful consider</w:t>
      </w:r>
      <w:r w:rsidR="009876B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ation of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1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the way in which additional approaches to assessment are implemented. Perhaps one important maxim to bear in mind is that we should seek to ‘do no harm’</w:t>
      </w:r>
      <w:r w:rsidR="002C789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Certainly, it has been vigorously argued that current forms of assessment, </w:t>
      </w:r>
      <w:r w:rsidR="002C789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especially high stakes testing, do harm young people</w:t>
      </w:r>
      <w:r w:rsidR="003D1F8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 their teachers</w:t>
      </w:r>
      <w:r w:rsidR="00084940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789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1F8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wider society </w:t>
      </w:r>
      <w:r w:rsidR="002C789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1F8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="00084940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1F8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Berliner, 2011; </w:t>
      </w:r>
      <w:r w:rsidR="004C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 of </w:t>
      </w:r>
      <w:r w:rsidR="00020FFB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Commons </w:t>
      </w:r>
      <w:r w:rsidR="00020FFB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Education</w:t>
      </w:r>
      <w:r w:rsidR="004C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</w:t>
      </w:r>
      <w:r w:rsidR="00020FFB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, 2017</w:t>
      </w:r>
      <w:r w:rsidR="002C789B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4940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789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in our eagerness to reduce these harms we must ensure that we do</w:t>
      </w:r>
      <w:r w:rsidR="00084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89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8494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C789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 introduce others.</w:t>
      </w:r>
    </w:p>
    <w:p w14:paraId="1190376D" w14:textId="77777777" w:rsidR="00FF2D6E" w:rsidRPr="00A14F10" w:rsidRDefault="002C789B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place where psychological research and knowledge has much to offer. For instance, Lucas </w:t>
      </w:r>
      <w:r w:rsidR="000A29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(2022)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notes that psychometric tests may be one promising category of approach that could be used to evidence students’ capabilities, with further examples of such tests a feature of his second category of ‘smart multiple choice tests’. Psychological research has many decades of experience in the development of reliable and valid approaches to the assessment of human </w:t>
      </w:r>
      <w:r w:rsidR="009A4755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characteristics and capabilities</w:t>
      </w:r>
      <w:r w:rsidR="00EA3E0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brought to bear in this arena</w:t>
      </w:r>
      <w:r w:rsidR="009A4755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AB1588" w14:textId="74E2B789" w:rsidR="006F46C2" w:rsidRPr="00A14F10" w:rsidRDefault="00EA3E08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Take, for example</w:t>
      </w:r>
      <w:r w:rsidR="008F651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assessment of </w:t>
      </w:r>
      <w:r w:rsidR="008F6513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creativity, which is frequently re</w:t>
      </w:r>
      <w:r w:rsidR="008F651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garded as a highly desirable outcome from education (</w:t>
      </w:r>
      <w:r w:rsidR="00A2119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Adobe, 2013; </w:t>
      </w:r>
      <w:r w:rsidR="007A525A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James et al., 2019</w:t>
      </w:r>
      <w:r w:rsidR="008F6513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), is widely valued by employers (</w:t>
      </w:r>
      <w:r w:rsidR="00A21193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="00084940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21193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Berman &amp; Korsten, 2014; </w:t>
      </w:r>
      <w:r w:rsidR="004B1718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World Economic Forum, 2020</w:t>
      </w:r>
      <w:r w:rsidR="008F6513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) and yet often</w:t>
      </w:r>
      <w:r w:rsidR="008F651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argued to be a casualty of high-stakes testing environments (e.g.</w:t>
      </w:r>
      <w:r w:rsidR="00084940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651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Berliner, 2011; </w:t>
      </w:r>
      <w:r w:rsidR="004C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 of </w:t>
      </w:r>
      <w:r w:rsidR="008F6513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Commons Education</w:t>
      </w:r>
      <w:r w:rsidR="004C6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Committee</w:t>
      </w:r>
      <w:r w:rsidR="008F6513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, 2017).</w:t>
      </w:r>
      <w:r w:rsidR="008F651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6C2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Whilst often described as a slippery concept, creativity researchers have </w:t>
      </w:r>
      <w:r w:rsidR="00AE0D3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fact </w:t>
      </w:r>
      <w:r w:rsidR="006F46C2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largely 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that creative outcomes combine originality </w:t>
      </w:r>
      <w:r w:rsidR="00B43565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with effectiveness (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Runco &amp; Jaegar, </w:t>
      </w:r>
      <w:r w:rsidR="00B43565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7E2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6F46C2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wide range of further 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elaborations to</w:t>
      </w:r>
      <w:r w:rsidR="009A7E2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3565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developments of</w:t>
      </w:r>
      <w:r w:rsidR="009A7E2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6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6F46C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core definition proposed (e.g.</w:t>
      </w:r>
      <w:r w:rsidR="00084940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F46C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565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Csikszentmihalyi, 1996; </w:t>
      </w:r>
      <w:r w:rsidR="006F46C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Plucker</w:t>
      </w:r>
      <w:r w:rsidR="00BE6DA6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B43565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2004; Simonton, 2012; Walia, 2019).</w:t>
      </w:r>
      <w:r w:rsidR="009A7E2C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ADE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Further</w:t>
      </w:r>
      <w:r w:rsidR="002F4AD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a wide range of approaches to assessing creativity</w:t>
      </w:r>
      <w:r w:rsidR="00B87110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="00B555F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reflect the</w:t>
      </w:r>
      <w:r w:rsidR="007074F7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4F7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core definitional components of creativity,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been </w:t>
      </w:r>
      <w:r w:rsidR="007074F7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produced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</w:t>
      </w:r>
      <w:r w:rsidR="00084940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988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Barbot &amp; Reiter-Palmon, 2019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A29F8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9F8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any of these were developed for</w:t>
      </w:r>
      <w:r w:rsidR="00AE0D39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have made their way into</w:t>
      </w:r>
      <w:r w:rsidR="00AE0D39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AD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tests used in education contexts</w:t>
      </w:r>
      <w:r w:rsidR="0008473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AD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Mission Skills Assessment cited by Lucas (</w:t>
      </w:r>
      <w:r w:rsidR="00EF135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2F4AD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473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The latter combines three approaches to assessing creativity – the measurement of divergent thinking; self-</w:t>
      </w:r>
      <w:r w:rsidR="0053562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perceptions</w:t>
      </w:r>
      <w:r w:rsidR="0008473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creativity; teacher rating of creativity – that have been widely used in research on creativity.</w:t>
      </w:r>
      <w:r w:rsidR="0059419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work has sought to develop rubrics for th</w:t>
      </w:r>
      <w:r w:rsidR="0059419B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e assessment of creativity</w:t>
      </w:r>
      <w:r w:rsidR="00305537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apply this res</w:t>
      </w:r>
      <w:r w:rsidR="00305537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earch to </w:t>
      </w:r>
      <w:r w:rsidR="0059419B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education context </w:t>
      </w:r>
      <w:r w:rsidR="003842D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44BD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4BD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2D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OECD, 2019;</w:t>
      </w:r>
      <w:r w:rsidR="00AA632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Scoular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</w:t>
      </w:r>
      <w:r w:rsidR="00AA632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2020;</w:t>
      </w:r>
      <w:r w:rsidR="0041603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BD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Scoular &amp; Heard, 2021; </w:t>
      </w:r>
      <w:r w:rsidR="0041603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Vincent-Lancrin et al., 2019)</w:t>
      </w:r>
      <w:r w:rsidR="000A29F8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603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providing</w:t>
      </w:r>
      <w:r w:rsidR="0041603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means to </w:t>
      </w:r>
      <w:r w:rsidR="008251A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effectively </w:t>
      </w:r>
      <w:r w:rsidR="0041603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differentiate levels of creative achievement</w:t>
      </w:r>
      <w:r w:rsidR="00305537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school</w:t>
      </w:r>
      <w:r w:rsidR="0041603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65E072" w14:textId="680D10D9" w:rsidR="0059419B" w:rsidRPr="00A14F10" w:rsidRDefault="0059419B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Thus, far from </w:t>
      </w:r>
      <w:r w:rsidR="00AE0D3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challenging to assess, psychological research provides a strong foundation on which to base the assessment of creativity</w:t>
      </w:r>
      <w:r w:rsidR="0041603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What then are the potential harms to be avoided?</w:t>
      </w:r>
    </w:p>
    <w:p w14:paraId="3BAB732C" w14:textId="7F796F59" w:rsidR="00B22891" w:rsidRPr="00A14F10" w:rsidRDefault="00305537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Perhaps chief amongst </w:t>
      </w:r>
      <w:r w:rsidR="00244BD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harm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4BD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B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to avoid</w:t>
      </w:r>
      <w:r w:rsidR="00AE0D39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8B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</w:t>
      </w:r>
      <w:r w:rsidR="00244B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potential for </w:t>
      </w:r>
      <w:r w:rsidR="007A75F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of </w:t>
      </w:r>
      <w:r w:rsidR="00244B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self-fulfilling prophecy </w:t>
      </w:r>
      <w:r w:rsidR="007729D0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(Merton, 1948)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8B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whereby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8B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F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5C78B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assessment of creativity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C78B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F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resultant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teacher expectations of students</w:t>
      </w:r>
      <w:r w:rsidR="001706A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drive student performance to align with those expectations (e.g.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Gentrup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2020). Further, students’ 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self-</w:t>
      </w:r>
      <w:r w:rsidR="005D374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perceptions</w:t>
      </w:r>
      <w:r w:rsidR="0078165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become aligned wi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th the results of assessmen</w:t>
      </w:r>
      <w:r w:rsidR="00E62AC1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such that they </w:t>
      </w:r>
      <w:r w:rsidR="005C78B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to see themselves as </w:t>
      </w:r>
      <w:r w:rsidR="00E62AC1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or less </w:t>
      </w:r>
      <w:r w:rsidR="005C78B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r w:rsidR="005D3332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(e.g.</w:t>
      </w:r>
      <w:r w:rsidR="008357F2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3332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Beghetto, 2006)</w:t>
      </w:r>
      <w:r w:rsidR="005C78B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7374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2AC1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 that whilst some individuals hold </w:t>
      </w:r>
      <w:r w:rsidR="005D374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self-perceptions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their creativity that are specific to certain domains</w:t>
      </w:r>
      <w:r w:rsidR="005D374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others</w:t>
      </w:r>
      <w:r w:rsidR="00B2289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indeed have the self-perception that they are generally uncreative or creative (Snyder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2020)</w:t>
      </w:r>
      <w:r w:rsidR="00AE0D3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that one’s creativity is largely fixed (Warren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AE0D3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2018)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Further</w:t>
      </w:r>
      <w:r w:rsidR="00C43DE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has shown that these kinds of creative self-perceptions </w:t>
      </w:r>
      <w:r w:rsidR="0093157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are linked to</w:t>
      </w:r>
      <w:r w:rsidR="00E62AC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extent of an individual’s </w:t>
      </w:r>
      <w:r w:rsidR="00E62AC1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engagement with creative opportunities and behaviours such that individuals who perceive themselves to be uncreative may be</w:t>
      </w:r>
      <w:r w:rsidR="0093157D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</w:t>
      </w:r>
      <w:r w:rsidR="00E62AC1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inclined to </w:t>
      </w:r>
      <w:r w:rsidR="005D333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engage with creative</w:t>
      </w:r>
      <w:r w:rsidR="00E62AC1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activities (</w:t>
      </w:r>
      <w:r w:rsidR="005D3746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e.g.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3746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Beghetto, 2006</w:t>
      </w:r>
      <w:r w:rsidR="00926318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; Shaw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E33A76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2AC1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B7EAB3F" w14:textId="3053E65C" w:rsidR="00B22891" w:rsidRPr="00A14F10" w:rsidRDefault="00B22891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Whilst any process of assessment and feedback delivered poorly has the potential for harm, the consequences of poor implementation of assessment of </w:t>
      </w:r>
      <w:r w:rsidR="00C56EE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wide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ranging </w:t>
      </w:r>
      <w:r w:rsidR="00B555F9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capabilities such as creativity, resulting in negatively changing self-perceptions,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be especially damaging both to the potential societal goals of more expansive educational curricula and with respect to the individual. For instance, consider that creative self-perceptions may reflect core aspects of an individual’s identity that influence </w:t>
      </w:r>
      <w:r w:rsidR="00C56EE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broad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aspects of their school and out-of-school life. Emphasising these potentially pervasive effects, research has shown that engagement in 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creative activity </w:t>
      </w:r>
      <w:r w:rsidR="00B555F9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is related to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AA6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well-being and psychological flourishing (Conner</w:t>
      </w:r>
      <w:r w:rsidR="008357F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2018).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69602750" w14:textId="1D85061D" w:rsidR="006C4248" w:rsidRPr="00A14F10" w:rsidRDefault="005D3332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the picture </w:t>
      </w:r>
      <w:r w:rsidR="00275AA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regarding links between self-</w:t>
      </w:r>
      <w:r w:rsidR="00EE5F8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perceptions</w:t>
      </w:r>
      <w:r w:rsidR="00275AA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outcomes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complicated with evidence </w:t>
      </w:r>
      <w:r w:rsidR="00A8604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on academic self-efficacy suggesting that students who under-estimate their academic ability</w:t>
      </w:r>
      <w:r w:rsidR="0093157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604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relative to </w:t>
      </w:r>
      <w:r w:rsidR="0093157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A8604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actual performance</w:t>
      </w:r>
      <w:r w:rsidR="0093157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604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 better on subsequent tasks </w:t>
      </w:r>
      <w:r w:rsidR="0066434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(Talsma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664341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2019).</w:t>
      </w:r>
      <w:r w:rsidR="006C424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 other work suggests that when people are labelled as having talents, strengths, abilities, and </w:t>
      </w:r>
      <w:r w:rsidR="006C4248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positive resources </w:t>
      </w:r>
      <w:r w:rsidR="00E85980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then a</w:t>
      </w:r>
      <w:r w:rsidR="006C4248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self-fulfilling prophecy can be an asset (</w:t>
      </w:r>
      <w:r w:rsidR="00D31459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EF72E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pp. 43-72</w:t>
      </w:r>
      <w:r w:rsidR="00D31459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72E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248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Magyar-Moe, 2009</w:t>
      </w:r>
      <w:r w:rsidR="00EF72E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; see also Poston &amp; Hanson, 2010)</w:t>
      </w:r>
      <w:r w:rsidR="0060499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pointing the way towards potentially beneficial uses</w:t>
      </w:r>
      <w:r w:rsidR="006049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new forms of assessment</w:t>
      </w:r>
      <w:r w:rsidR="00C56EE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especially formatively</w:t>
      </w:r>
      <w:r w:rsidR="00EF72E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DA4C2F" w14:textId="452A15C4" w:rsidR="0070253C" w:rsidRPr="00A14F10" w:rsidRDefault="004B5A27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what might be </w:t>
      </w:r>
      <w:r w:rsidR="002C58F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useful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consider when implementing 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forms of assessment</w:t>
      </w:r>
      <w:r w:rsidR="00E820B4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ED1E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aspect is </w:t>
      </w:r>
      <w:r w:rsidR="0001591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591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draw on existing research knowledge to </w:t>
      </w:r>
      <w:r w:rsidR="0080076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decompos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0076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global </w:t>
      </w:r>
      <w:r w:rsidR="002F79E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capabilities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such</w:t>
      </w:r>
      <w:r w:rsidR="0080076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creativity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076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their underlying sub-skills and associated behaviours. 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For example</w:t>
      </w:r>
      <w:r w:rsidR="0080076D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long history of research shows that creative thinking processes can be separated into two over-arching and </w:t>
      </w:r>
      <w:r w:rsidR="0080076D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yoked types of thinking </w:t>
      </w:r>
      <w:r w:rsidR="0000717E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associated </w:t>
      </w:r>
      <w:r w:rsidR="0000717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0717E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ith the generation and evaluation of ideas </w:t>
      </w:r>
      <w:r w:rsidR="0080076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B2180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Beaty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BB2180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2015; </w:t>
      </w:r>
      <w:r w:rsidR="0080076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Pringle &amp; Sowden, 2017a,</w:t>
      </w:r>
      <w:r w:rsidR="00485B4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76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b; Sowden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80076D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2015)</w:t>
      </w:r>
      <w:r w:rsidR="007C2EDF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EDF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 thinking </w:t>
      </w:r>
      <w:r w:rsidR="007C2E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processes can themselves be</w:t>
      </w:r>
      <w:r w:rsidR="00522AD3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further </w:t>
      </w:r>
      <w:r w:rsidR="007C2E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decomposed </w:t>
      </w:r>
      <w:r w:rsidR="0000717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into numerous sub-components </w:t>
      </w:r>
      <w:r w:rsidR="007C2E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(e.g.</w:t>
      </w:r>
      <w:r w:rsidR="008357F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2E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17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Finke</w:t>
      </w:r>
      <w:r w:rsidR="008357F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00717E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1992)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2EDF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Similarly</w:t>
      </w:r>
      <w:r w:rsidR="0070253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other research has made significant progress at decomposing creativity into sub-habits and behaviours (e.g.</w:t>
      </w:r>
      <w:r w:rsidR="008357F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253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Lucas, 2016) including important collaborative behaviours</w:t>
      </w:r>
      <w:r w:rsidR="0001591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="0070253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 </w:t>
      </w:r>
      <w:r w:rsidR="00793BF8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creativity is more than the product of an individual (e.g.</w:t>
      </w:r>
      <w:r w:rsidR="008357F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Reiter-Palmon, 2017). </w:t>
      </w:r>
      <w:r w:rsidR="00C43DE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Crucially</w:t>
      </w:r>
      <w:r w:rsidR="0070253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wide variety of evidence shows that separate elements </w:t>
      </w:r>
      <w:r w:rsidR="0070253C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creative thinking </w:t>
      </w:r>
      <w:r w:rsidR="0070253C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processes and creative habits and behaviours can be taught (e.g.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253C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Ma, 2006; Scott</w:t>
      </w:r>
      <w:r w:rsidR="008357F2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al., </w:t>
      </w:r>
      <w:r w:rsidR="0070253C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2004; Tsai, 2014). </w:t>
      </w:r>
      <w:r w:rsidR="00522AD3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This is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where Lucas’s</w:t>
      </w:r>
      <w:r w:rsidR="00ED1E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(2022)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suggestions around another category of assessment, </w:t>
      </w:r>
      <w:r w:rsidR="00ED1E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micro-credentialing</w:t>
      </w:r>
      <w:r w:rsidR="00ED1E9E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become especially valuable. 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Somewhat analogous to using m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icro-credentials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focus of assessment and feedback can become 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recognis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reward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progress in specific 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sub-components</w:t>
      </w:r>
      <w:r w:rsidR="00522AD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creativity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 instance, 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recognising 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 student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’s progress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learning 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to use techniques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six hats or six wise men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5B4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restate p</w:t>
      </w:r>
      <w:r w:rsidR="00485B4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roblems in multiple ways</w:t>
      </w:r>
      <w:r w:rsidR="00ED1E9E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. The latter</w:t>
      </w:r>
      <w:r w:rsidR="00485B4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help to promote </w:t>
      </w:r>
      <w:r w:rsidR="00ED1E9E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creativity through </w:t>
      </w:r>
      <w:r w:rsidR="00485B4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consideration of a wider range of possible </w:t>
      </w:r>
      <w:r w:rsidR="00ED1E9E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perspectives and </w:t>
      </w:r>
      <w:r w:rsidR="00485B4A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solutions (Vernon &amp; Hocking, 2014)</w:t>
      </w:r>
      <w:r w:rsidR="0070253C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A993CC" w14:textId="00D7021B" w:rsidR="00DB230A" w:rsidRPr="00A14F10" w:rsidRDefault="00D553B8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Thus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using </w:t>
      </w:r>
      <w:r w:rsidR="005E4160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psychological 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research to decompose an overarching capability, such as creativity</w:t>
      </w:r>
      <w:r w:rsidR="00DB230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individual skills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behaviours</w:t>
      </w:r>
      <w:r w:rsidR="001F770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70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677467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separately fostered</w:t>
      </w:r>
      <w:r w:rsidR="001F770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7467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53C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comes 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30AD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potential to build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positive creative self-perceptions and promote engagement with rather than away from creative activities.</w:t>
      </w:r>
      <w:r w:rsidR="00DB230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467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230AD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sessment </w:t>
      </w:r>
      <w:r w:rsidR="00DB230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</w:t>
      </w:r>
      <w:r w:rsidR="00677467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</w:t>
      </w:r>
      <w:r w:rsidR="001F770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source of </w:t>
      </w:r>
      <w:r w:rsidR="00230AD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feedback </w:t>
      </w:r>
      <w:r w:rsidR="001F770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793BF8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0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a student</w:t>
      </w:r>
      <w:r w:rsidR="00230AD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70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their </w:t>
      </w:r>
      <w:r w:rsidR="00230AD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profile of </w:t>
      </w:r>
      <w:r w:rsidR="00677467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habits and skills</w:t>
      </w:r>
      <w:r w:rsidR="00226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Students can then be helped to address specific areas for improvement </w:t>
      </w:r>
      <w:r w:rsidR="007E63FD">
        <w:rPr>
          <w:rFonts w:ascii="Times New Roman" w:hAnsi="Times New Roman" w:cs="Times New Roman"/>
          <w:color w:val="000000" w:themeColor="text1"/>
          <w:sz w:val="24"/>
          <w:szCs w:val="24"/>
        </w:rPr>
        <w:t>by being taught about</w:t>
      </w:r>
      <w:r w:rsidR="001F770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0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677467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, research-evidence based,</w:t>
      </w:r>
      <w:r w:rsidR="00DB230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tools </w:t>
      </w:r>
      <w:r w:rsidR="001F770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to further develop these habits and skills</w:t>
      </w:r>
      <w:r w:rsidR="00226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3BF8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thereby </w:t>
      </w:r>
      <w:r w:rsidR="00DB230A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facilitating progress towards the overarching capability</w:t>
      </w:r>
      <w:r w:rsidR="00793BF8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3BF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230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Indeed, this type of meta-cognitive and self-regulation </w:t>
      </w:r>
      <w:r w:rsidR="00F74C2B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focused </w:t>
      </w:r>
      <w:r w:rsidR="00DB230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approach has been shown to be amongst the most effective</w:t>
      </w:r>
      <w:r w:rsidR="001F770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promoting learning</w:t>
      </w:r>
      <w:r w:rsidR="00DB230A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(Muijs &amp; Bokhove, 2020).</w:t>
      </w:r>
    </w:p>
    <w:p w14:paraId="3B97C22A" w14:textId="77777777" w:rsidR="00FA7D76" w:rsidRPr="00A14F10" w:rsidRDefault="00C43DEC" w:rsidP="00A14F1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clos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would like to reflect on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Lucas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160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(2022)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quotation and critique of the National Curriculum when he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states that “</w:t>
      </w:r>
      <w:r w:rsidR="00FA7D76"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mechanisms by which students move from being told about great thinkers and speakers to developing an appreciation of creativity is spectacularly absent in the document.”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To this we might add that by drawing on psychological research</w:t>
      </w:r>
      <w:r w:rsidR="005E4160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only can </w:t>
      </w:r>
      <w:r w:rsidR="00D553B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 to envisage how 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rethinking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can be used to help students appreciate creativity in others but also to become </w:t>
      </w:r>
      <w:r w:rsidR="00F93657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FA7D76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creatively adept themselves.</w:t>
      </w:r>
    </w:p>
    <w:p w14:paraId="4800A2EB" w14:textId="5AF52D38" w:rsidR="00FA7D76" w:rsidRDefault="00FA7D76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5C12C" w14:textId="77777777" w:rsidR="00A14F10" w:rsidRPr="000538A3" w:rsidRDefault="00A14F10" w:rsidP="00A14F1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8A3">
        <w:rPr>
          <w:rFonts w:ascii="Times New Roman" w:hAnsi="Times New Roman" w:cs="Times New Roman"/>
          <w:b/>
          <w:bCs/>
          <w:sz w:val="24"/>
          <w:szCs w:val="24"/>
        </w:rPr>
        <w:t>Author</w:t>
      </w:r>
    </w:p>
    <w:p w14:paraId="29EE467D" w14:textId="2D40D570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 xml:space="preserve">Professor Paul </w:t>
      </w:r>
      <w:r w:rsidR="00B253E4">
        <w:rPr>
          <w:rFonts w:ascii="Times New Roman" w:hAnsi="Times New Roman" w:cs="Times New Roman"/>
          <w:sz w:val="24"/>
          <w:szCs w:val="24"/>
        </w:rPr>
        <w:t xml:space="preserve">T. </w:t>
      </w:r>
      <w:r w:rsidRPr="00587E16">
        <w:rPr>
          <w:rFonts w:ascii="Times New Roman" w:hAnsi="Times New Roman" w:cs="Times New Roman"/>
          <w:sz w:val="24"/>
          <w:szCs w:val="24"/>
        </w:rPr>
        <w:t>Sowden</w:t>
      </w:r>
    </w:p>
    <w:p w14:paraId="3512EC79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Research Lead</w:t>
      </w:r>
    </w:p>
    <w:p w14:paraId="3206A73D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444A9B5D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University of Winchester</w:t>
      </w:r>
    </w:p>
    <w:p w14:paraId="7D370E35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Sparkford Road</w:t>
      </w:r>
    </w:p>
    <w:p w14:paraId="4428F5C6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Winchester</w:t>
      </w:r>
    </w:p>
    <w:p w14:paraId="726983C5" w14:textId="77777777" w:rsidR="00A14F10" w:rsidRPr="00587E16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Hampshire</w:t>
      </w:r>
    </w:p>
    <w:p w14:paraId="54F10A69" w14:textId="77777777" w:rsidR="00A14F10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87E16">
        <w:rPr>
          <w:rFonts w:ascii="Times New Roman" w:hAnsi="Times New Roman" w:cs="Times New Roman"/>
          <w:sz w:val="24"/>
          <w:szCs w:val="24"/>
        </w:rPr>
        <w:t>SO22 4NR</w:t>
      </w:r>
    </w:p>
    <w:p w14:paraId="3E294313" w14:textId="77777777" w:rsidR="00A14F10" w:rsidRPr="000538A3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FFEFD14" w14:textId="77777777" w:rsidR="00A14F10" w:rsidRPr="000538A3" w:rsidRDefault="00A14F10" w:rsidP="00A14F1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8A3">
        <w:rPr>
          <w:rFonts w:ascii="Times New Roman" w:hAnsi="Times New Roman" w:cs="Times New Roman"/>
          <w:b/>
          <w:bCs/>
          <w:sz w:val="24"/>
          <w:szCs w:val="24"/>
        </w:rPr>
        <w:t>Correspondence</w:t>
      </w:r>
    </w:p>
    <w:p w14:paraId="043FC58E" w14:textId="77777777" w:rsidR="00A14F10" w:rsidRPr="000538A3" w:rsidRDefault="00A14F10" w:rsidP="00A14F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38A3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D074D">
          <w:rPr>
            <w:rStyle w:val="Hyperlink"/>
            <w:rFonts w:ascii="Times New Roman" w:hAnsi="Times New Roman" w:cs="Times New Roman"/>
            <w:sz w:val="24"/>
            <w:szCs w:val="24"/>
          </w:rPr>
          <w:t>Paul.Sowden@winchester.ac.uk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21E05" w14:textId="77777777" w:rsidR="00A14F10" w:rsidRPr="00A14F10" w:rsidRDefault="00A14F10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ED28" w14:textId="77777777" w:rsidR="00516164" w:rsidRPr="00A14F10" w:rsidRDefault="00D0183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7C7504EC" w14:textId="51DDE356" w:rsidR="00A21193" w:rsidRPr="00A14F10" w:rsidRDefault="00F4429E" w:rsidP="006F20F0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Christian, D. S. </w:t>
      </w:r>
      <w:r w:rsidR="00A2119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(2013). </w:t>
      </w:r>
      <w:r w:rsidR="003F41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Adobe report on </w:t>
      </w:r>
      <w:r w:rsidR="00A21193"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Barriers to creativity in Education: Educators and parents grade the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5" w:history="1">
        <w:r w:rsidRPr="00D613D6">
          <w:rPr>
            <w:rStyle w:val="Hyperlink"/>
            <w:rFonts w:ascii="Times New Roman" w:hAnsi="Times New Roman" w:cs="Times New Roman"/>
            <w:sz w:val="24"/>
            <w:szCs w:val="24"/>
          </w:rPr>
          <w:t>http://danielschristian.com/learning-ecosystems/2013/08/21/barriers-to-creativity-in-education-educators-and-parents-grade-the-system-adobe/</w:t>
        </w:r>
      </w:hyperlink>
      <w:r w:rsidR="00A21193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AD96E" w14:textId="61C0BF3D" w:rsidR="00660988" w:rsidRPr="00A14F10" w:rsidRDefault="00660988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Barbot, B. &amp; Reiter-Palmon, R. (2019). Creativity assessment: Pitfalls, solutions, and 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standards.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 of Aesthetics, Creativity, and the Arts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5505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(2),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131–132. 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https://doi.org/10.1037/aca0000251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842900" w14:textId="1549EDA3" w:rsidR="00BB2180" w:rsidRPr="00A14F10" w:rsidRDefault="00BB2180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Beaty, R. E., Benedek, M., Barry Kaufman, S.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Default and executive network 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coupling supports creative idea production.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Scientific reports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5505C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(1),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1-14.</w:t>
      </w:r>
    </w:p>
    <w:p w14:paraId="6325CF3F" w14:textId="0F1EAB6C" w:rsidR="005D3746" w:rsidRPr="00A14F10" w:rsidRDefault="005D3746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Beghetto, R. A. (2006). Creative self-efficacy: Correlates in middle and secondary students. 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447–457. </w:t>
      </w:r>
      <w:r w:rsidR="005505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06D0" w:rsidRPr="005505C2">
        <w:rPr>
          <w:rFonts w:ascii="Times New Roman" w:hAnsi="Times New Roman" w:cs="Times New Roman"/>
          <w:color w:val="000000" w:themeColor="text1"/>
          <w:sz w:val="24"/>
          <w:szCs w:val="24"/>
        </w:rPr>
        <w:t>http://dx.doi.org/10.1207/s15326934crj1804_4</w:t>
      </w:r>
      <w:r w:rsidR="006006D0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8C9375" w14:textId="2AE77344" w:rsidR="003D1F8B" w:rsidRPr="00A14F10" w:rsidRDefault="003D1F8B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Berliner, D. (2011). Rational responses to high stakes testing: the case of curriculum </w:t>
      </w:r>
      <w:r w:rsidR="005505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narrowing and the harm that follows, </w:t>
      </w:r>
      <w:r w:rsidRP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Cambridge Journal of Education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41</w:t>
      </w:r>
      <w:r w:rsidR="005505C2" w:rsidRPr="00BE6D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(3)</w:t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, 287-</w:t>
      </w:r>
      <w:r w:rsidR="005505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302, DOI: 10.1080/0305764X.2011.607151</w:t>
      </w:r>
    </w:p>
    <w:p w14:paraId="7801B4BC" w14:textId="3A757468" w:rsidR="00A21193" w:rsidRPr="00A14F10" w:rsidRDefault="00A2119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Berman, S. &amp; Korsten, P. (2014). Leading in the connected era.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Strategy &amp; Leadership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42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37-46. </w:t>
      </w:r>
    </w:p>
    <w:p w14:paraId="747F8A34" w14:textId="678FF8E0" w:rsidR="00087F3E" w:rsidRPr="00A14F10" w:rsidRDefault="00087F3E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Conner, T. S., DeYoung, C. G. &amp; Silvia, P. J. (2018). Everyday creative activity as a path to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flourishing.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Journal of Positive Psychology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13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181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189.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http://dx.doi.org/10.1080/17439760.2016.1257049</w:t>
      </w:r>
    </w:p>
    <w:p w14:paraId="5BE5DB1C" w14:textId="194B96FF" w:rsidR="00B43565" w:rsidRPr="00A14F10" w:rsidRDefault="00B43565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Csikszentmihalyi, M. (1996).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Creativity: Flow and the psychology of discovery and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invention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New York, NY: Harper Collins.</w:t>
      </w:r>
    </w:p>
    <w:p w14:paraId="1C13A282" w14:textId="6BCB9143" w:rsidR="0000717E" w:rsidRPr="00A14F10" w:rsidRDefault="0000717E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Finke, R. A., Ward, T. B. &amp; Smith, S. M. (1992).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Creative cognition: Theory, research and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applications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Cambridge, MA: MIT Press.</w:t>
      </w:r>
    </w:p>
    <w:p w14:paraId="384E06D4" w14:textId="0D2C2482" w:rsidR="0078165E" w:rsidRPr="00A14F10" w:rsidRDefault="0078165E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Gentrup, S., Lorenz, G., Kristen, C.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(2020). Self-fulfilling prophecies in the classroom: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expectations, teacher feedback and student achievement.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Learning and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Instruction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66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101296.</w:t>
      </w:r>
    </w:p>
    <w:p w14:paraId="2468D64C" w14:textId="71813AC2" w:rsidR="009165F3" w:rsidRPr="00A14F10" w:rsidRDefault="00020FFB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House of Commons Education Committee (2017). </w:t>
      </w:r>
      <w:r w:rsidRPr="00A46D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Primary Assessment</w:t>
      </w:r>
      <w:r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London, UK: House </w:t>
      </w:r>
      <w:r w:rsidR="00BE6DA6"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6D09">
        <w:rPr>
          <w:rFonts w:ascii="Times New Roman" w:hAnsi="Times New Roman" w:cs="Times New Roman"/>
          <w:color w:val="000000" w:themeColor="text1"/>
          <w:sz w:val="24"/>
          <w:szCs w:val="24"/>
        </w:rPr>
        <w:t>of Commons.</w:t>
      </w:r>
    </w:p>
    <w:p w14:paraId="64F1EEEF" w14:textId="3A21CF19" w:rsidR="007A525A" w:rsidRPr="00A14F10" w:rsidRDefault="007A525A" w:rsidP="007B4222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James, S. J., Houston, A., Newton, L.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Durham Commission on Creativity and</w:t>
      </w:r>
      <w:r w:rsidR="007B42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Durham, UK: University of Durham.</w:t>
      </w:r>
      <w:r w:rsidR="007B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DD3BBB" w:rsidRPr="00D613D6">
          <w:rPr>
            <w:rStyle w:val="Hyperlink"/>
            <w:rFonts w:ascii="Times New Roman" w:hAnsi="Times New Roman" w:cs="Times New Roman"/>
            <w:sz w:val="24"/>
            <w:szCs w:val="24"/>
          </w:rPr>
          <w:t>https://www.dur.ac.uk/resources/creativitycommission/DurhamReport.pdf</w:t>
        </w:r>
      </w:hyperlink>
      <w:r w:rsidR="00DD3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54CD6E" w14:textId="5D9DF885" w:rsidR="00291864" w:rsidRPr="00A14F10" w:rsidRDefault="0029186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Lucas, B. (2016). A five-dimensional model of creativity and its assessment in schools.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Applied Measurement in Education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29</w:t>
      </w:r>
      <w:r w:rsidRPr="00BE6D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(4),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278-290.</w:t>
      </w:r>
    </w:p>
    <w:p w14:paraId="5859AAFC" w14:textId="105401A7" w:rsidR="00974A44" w:rsidRPr="00A14F10" w:rsidRDefault="00974A4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Lucas, B. (2022). Rethinking assessment in schools: Moving from a deficit to a strengths-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model.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Psychology of Education Review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015DF7" w14:textId="1FD68C4D" w:rsidR="00AD2094" w:rsidRPr="00A14F10" w:rsidRDefault="00AD209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Ma, H. H. (2006). A synthetic analysis of the effectiveness of single components and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packages in creativity training programs.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18</w:t>
      </w:r>
      <w:r w:rsidRPr="00BE6D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(4),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435-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446.</w:t>
      </w:r>
    </w:p>
    <w:p w14:paraId="667E8D18" w14:textId="4DB7CD58" w:rsidR="00EF72E3" w:rsidRPr="00A14F10" w:rsidRDefault="00EF72E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Magyar-Moe, J. L. (2009).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Therapist's guide to positive psychological interventions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Elsevier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Academic Press.</w:t>
      </w:r>
    </w:p>
    <w:p w14:paraId="1FF7ACB0" w14:textId="77777777" w:rsidR="007729D0" w:rsidRPr="00A14F10" w:rsidRDefault="007729D0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Merton, R. K. (1948). The self-fulfilling prophecy.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Antioch Review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8(2)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193-210.</w:t>
      </w:r>
    </w:p>
    <w:p w14:paraId="7BA893AE" w14:textId="68BD896C" w:rsidR="00DB230A" w:rsidRPr="00A14F10" w:rsidRDefault="00DB230A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Muijs, D.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Bokhove, C. (2020).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Metacognition and Self-Regulation: Evidence Review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London: Education Endowment Foundation.</w:t>
      </w:r>
    </w:p>
    <w:p w14:paraId="0D367FD0" w14:textId="16F7663A" w:rsidR="00EF72E3" w:rsidRPr="00A14F10" w:rsidRDefault="00EF72E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OECD (2019). </w:t>
      </w:r>
      <w:r w:rsidR="00BE6DA6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https://www.oecd.org/education/class-friendly-assessment-rubric-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creativity.pdf  </w:t>
      </w:r>
    </w:p>
    <w:p w14:paraId="7ED1FCF1" w14:textId="10DEAB5B" w:rsidR="00B43565" w:rsidRPr="00A14F10" w:rsidRDefault="00B43565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Plucker, J. A., Beghetto, R. A. &amp; Dow, G. T. (2004). Why isn’t creativity more important to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educational psychologists? Potentials, pitfalls, and future directions in creativity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Psychologist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39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83–96. doi:10.1207/s15326985ep3902_1</w:t>
      </w:r>
    </w:p>
    <w:p w14:paraId="58E19419" w14:textId="387C8B24" w:rsidR="00EF72E3" w:rsidRPr="00A14F10" w:rsidRDefault="00EF72E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Poston, J. M. &amp; Hanson, W. E. (2010). Meta-analysis of psychological assessment as a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therapeutic intervention.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Psychological Assessment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</w:t>
      </w:r>
      <w:r w:rsidRPr="00BE6DA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(2),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203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212.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505C2" w:rsidRPr="00BE6DA6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https://doi.org/10.1037/a0018679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FB684F" w14:textId="242FF374" w:rsidR="00522AD3" w:rsidRPr="00A14F10" w:rsidRDefault="00522AD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Pringle, A. &amp; Sowden, P. T. (2017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Unearthing the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reative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hinking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rocess: Fresh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nsights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a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hink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loud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tudy of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arden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esign.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Psychology of Aesthetics, Creativity &amp; the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11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344-358. http://dx.doi.org/10.1037/aca0000144.</w:t>
      </w:r>
    </w:p>
    <w:p w14:paraId="27DD87C0" w14:textId="025E3D76" w:rsidR="00522AD3" w:rsidRPr="00A14F10" w:rsidRDefault="00522AD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Pringle, A. &amp; Sowden, P. T. (2017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Mode Shifting Index (MSI): A new measure of the 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creative thinking skill of shifting between associative and analytic thinking.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Thinking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Skills and Creativity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23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17-28. doi: http://dx.doi.org/10.1016/j.tsc.2016.10.010.</w:t>
      </w:r>
    </w:p>
    <w:p w14:paraId="78AD9D8C" w14:textId="77777777" w:rsidR="004806D4" w:rsidRPr="00A14F10" w:rsidRDefault="004806D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Reiter-Palmon, R. (Ed.). (2017). Team creativity and innovation. Oxford University Press.</w:t>
      </w:r>
    </w:p>
    <w:p w14:paraId="37820B08" w14:textId="736F7164" w:rsidR="00B43565" w:rsidRPr="00A14F10" w:rsidRDefault="00B43565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Runco, M. A. &amp; Jaeger, G. J. (2012). The standard definition of creativity.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Creativity </w:t>
      </w:r>
      <w:r w:rsidR="00BE6D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92</w:t>
      </w:r>
      <w:r w:rsidR="00BE6DA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96. doi:10.1080/10400419.2012.650092.</w:t>
      </w:r>
    </w:p>
    <w:p w14:paraId="12EDFF76" w14:textId="7182B730" w:rsidR="008313C1" w:rsidRPr="00A14F10" w:rsidRDefault="008313C1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Scott, G., Leritz, L. E. &amp; Mumford, M. D. (2004). The effectiveness of creativity training: A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quantitative review.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16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361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388.</w:t>
      </w:r>
    </w:p>
    <w:p w14:paraId="4F6E0544" w14:textId="5690AA22" w:rsidR="00244BDF" w:rsidRPr="00A14F10" w:rsidRDefault="00244BDF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Scoular, C. &amp; Heard, J. (2021). A framework for defining and assessing creative thinking.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Impact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7B4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="007B4222" w:rsidRPr="00D613D6">
          <w:rPr>
            <w:rStyle w:val="Hyperlink"/>
            <w:rFonts w:ascii="Times New Roman" w:hAnsi="Times New Roman" w:cs="Times New Roman"/>
            <w:sz w:val="24"/>
            <w:szCs w:val="24"/>
          </w:rPr>
          <w:t>https://my.chartered.college/impact_article/a-framework-for-defining-and-assessing-creative-thinking/</w:t>
        </w:r>
      </w:hyperlink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CCF2C5" w14:textId="05880AEA" w:rsidR="00C76C63" w:rsidRPr="00A14F10" w:rsidRDefault="00C76C6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Scoular, C., Ramalingam, D., Duckworth, D.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Assessment of general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capabilities: Skills for the 21st-century learner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Australian Council for Educational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Research. </w:t>
      </w:r>
      <w:r w:rsidR="00BE6DA6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https://research.acer.edu.au/ar_misc/47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8A4D14" w14:textId="00DA5215" w:rsidR="00E33A76" w:rsidRPr="00A14F10" w:rsidRDefault="00E33A76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Shaw, A., Kapnek, M. &amp; Morelli, N. A. (2021). Measuring creative self-efficacy: an item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response theory analysis of the creative self-efficacy (CSE) scale.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Frontiers in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Psychology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2577.</w:t>
      </w:r>
    </w:p>
    <w:p w14:paraId="5BBBC61D" w14:textId="2AE33638" w:rsidR="00B43565" w:rsidRPr="00A14F10" w:rsidRDefault="00B43565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Simonton, D. K. (2012). Taking the U.S. patent office criteria seriously: A quantitative three-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criterion creativity definition and its implications.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24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106. doi:10.1080/10400419.2012.676974</w:t>
      </w:r>
    </w:p>
    <w:p w14:paraId="4DAC3C2C" w14:textId="1C74CD2E" w:rsidR="00522AD3" w:rsidRPr="00A14F10" w:rsidRDefault="00522AD3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Sowden, P. T., Pringle, A. &amp; Gabora, L. (2015). The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hifting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ands of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reative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hinking: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Connections to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heory.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Thinking &amp; Reasoning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40-60.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doi:10.1080/13546783.2014.885464</w:t>
      </w:r>
    </w:p>
    <w:p w14:paraId="638D4491" w14:textId="12373118" w:rsidR="00A8604F" w:rsidRPr="00A14F10" w:rsidRDefault="00A8604F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Talsma, K., Schüz, B. &amp; Norris, K. (2019). Miscalibration of self-efficacy and academic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performance: Self-efficacy≠ self-fulfilling prophecy.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Learning and Individual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Differences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69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182-195.</w:t>
      </w:r>
    </w:p>
    <w:p w14:paraId="3D8C4DAF" w14:textId="516B0C3C" w:rsidR="00AD2094" w:rsidRPr="00A14F10" w:rsidRDefault="00AD2094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Tsai, K. C. (2013). A review of the effectiveness of creative training on adult learners.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Social Science Studies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C64A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(1),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  <w:bookmarkStart w:id="0" w:name="_GoBack"/>
      <w:bookmarkEnd w:id="0"/>
      <w:r w:rsidR="003F4172">
        <w:rPr>
          <w:rFonts w:ascii="Times New Roman" w:hAnsi="Times New Roman" w:cs="Times New Roman"/>
          <w:color w:val="000000" w:themeColor="text1"/>
          <w:sz w:val="24"/>
          <w:szCs w:val="24"/>
        </w:rPr>
        <w:t>-30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8D18B3" w14:textId="1A419EB7" w:rsidR="00E73898" w:rsidRPr="00A14F10" w:rsidRDefault="00E73898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Vernon, D. &amp; Hocking, I. (2014). Thinking hats and good men: Structured techniques in a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 construction task.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Thinking Skills and Creativity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41-46.</w:t>
      </w:r>
    </w:p>
    <w:p w14:paraId="21F97AF9" w14:textId="681AC627" w:rsidR="0041603D" w:rsidRPr="00A14F10" w:rsidRDefault="0041603D" w:rsidP="00C64A21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Vincent-Lancrin, S.,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A21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González-Sancho,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&amp; </w:t>
      </w:r>
      <w:r w:rsidR="00C64A21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Bouckaert,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(2019</w:t>
      </w:r>
      <w:r w:rsidRPr="00C64A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C64A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Fostering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tudents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c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reativity and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ritical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hinking: What it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eans in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chool</w:t>
      </w:r>
      <w:r w:rsidR="00660988"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. Centre for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Educational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and Innovation, OECD Publishing, Paris, </w:t>
      </w:r>
      <w:r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https://doi.org/10.1787/62212c37-</w:t>
      </w:r>
      <w:r w:rsidR="00C64A21"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64A21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EF642A" w14:textId="1C95F4DA" w:rsidR="00B43565" w:rsidRPr="00A14F10" w:rsidRDefault="00B43565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Walia, C. (2019). A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ynamic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efinition of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reativity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 Research Journal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31</w:t>
      </w:r>
      <w:r w:rsidR="00C64A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(3)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237-247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DOI: 10.1080/10400419.2019.1641787</w:t>
      </w:r>
    </w:p>
    <w:p w14:paraId="4CE2AAEC" w14:textId="280D26B7" w:rsidR="00AE0D39" w:rsidRPr="00A14F10" w:rsidRDefault="00AE0D39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Warren, F., Mason-Apps, E., Hoskins, S.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>et al.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The role of implicit theories, age, and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gender in the creative performance of children and adults.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Thinking Skills and </w:t>
      </w:r>
      <w:r w:rsidR="00C64A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Creativity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28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, 98-109.</w:t>
      </w:r>
    </w:p>
    <w:p w14:paraId="2EC40FC1" w14:textId="1B930137" w:rsidR="004B1718" w:rsidRPr="00A14F10" w:rsidRDefault="004B1718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World Economic Forum. (2020, October). </w:t>
      </w:r>
      <w:r w:rsidRPr="00A14F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Future of Jobs Report 2020</w:t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Geneva, </w:t>
      </w:r>
      <w:r w:rsidR="00C64A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F10">
        <w:rPr>
          <w:rFonts w:ascii="Times New Roman" w:hAnsi="Times New Roman" w:cs="Times New Roman"/>
          <w:color w:val="000000" w:themeColor="text1"/>
          <w:sz w:val="24"/>
          <w:szCs w:val="24"/>
        </w:rPr>
        <w:t>Switzerland: World Economic Forum.</w:t>
      </w:r>
    </w:p>
    <w:p w14:paraId="25FA86FC" w14:textId="77777777" w:rsidR="00327EEA" w:rsidRPr="00A14F10" w:rsidRDefault="00327EEA" w:rsidP="00A14F1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7EEA" w:rsidRPr="00A14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6620A" w16cex:dateUtc="2022-02-15T17:31:00Z"/>
  <w16cex:commentExtensible w16cex:durableId="25B661F6" w16cex:dateUtc="2022-02-15T17:31:00Z"/>
  <w16cex:commentExtensible w16cex:durableId="25B66235" w16cex:dateUtc="2022-02-15T17:32:00Z"/>
  <w16cex:commentExtensible w16cex:durableId="25B66244" w16cex:dateUtc="2022-02-15T17:32:00Z"/>
  <w16cex:commentExtensible w16cex:durableId="25B66263" w16cex:dateUtc="2022-02-15T17:33:00Z"/>
  <w16cex:commentExtensible w16cex:durableId="25B6626E" w16cex:dateUtc="2022-02-15T17:33:00Z"/>
  <w16cex:commentExtensible w16cex:durableId="25B6627F" w16cex:dateUtc="2022-02-15T17:33:00Z"/>
  <w16cex:commentExtensible w16cex:durableId="25B66289" w16cex:dateUtc="2022-02-15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53587" w16cid:durableId="25B6620A"/>
  <w16cid:commentId w16cid:paraId="05E63910" w16cid:durableId="25B661F6"/>
  <w16cid:commentId w16cid:paraId="5C7FAB59" w16cid:durableId="25B66235"/>
  <w16cid:commentId w16cid:paraId="2DE836B8" w16cid:durableId="25B66244"/>
  <w16cid:commentId w16cid:paraId="47F49F10" w16cid:durableId="25B66263"/>
  <w16cid:commentId w16cid:paraId="1FB7C19C" w16cid:durableId="25B6626E"/>
  <w16cid:commentId w16cid:paraId="0135A5E9" w16cid:durableId="25B6627F"/>
  <w16cid:commentId w16cid:paraId="52EFFF4E" w16cid:durableId="25B662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3"/>
    <w:rsid w:val="0000717E"/>
    <w:rsid w:val="0001591A"/>
    <w:rsid w:val="00020FFB"/>
    <w:rsid w:val="00084736"/>
    <w:rsid w:val="00084940"/>
    <w:rsid w:val="00087F3E"/>
    <w:rsid w:val="000A29F8"/>
    <w:rsid w:val="00113AE0"/>
    <w:rsid w:val="001706A9"/>
    <w:rsid w:val="0018213D"/>
    <w:rsid w:val="00184D3C"/>
    <w:rsid w:val="00194212"/>
    <w:rsid w:val="001A7F45"/>
    <w:rsid w:val="001F7706"/>
    <w:rsid w:val="00226BB4"/>
    <w:rsid w:val="00230ADA"/>
    <w:rsid w:val="00244BDF"/>
    <w:rsid w:val="00261692"/>
    <w:rsid w:val="00275AA6"/>
    <w:rsid w:val="00280FE6"/>
    <w:rsid w:val="00291864"/>
    <w:rsid w:val="002C58F3"/>
    <w:rsid w:val="002C789B"/>
    <w:rsid w:val="002F4ADE"/>
    <w:rsid w:val="002F79EF"/>
    <w:rsid w:val="00305537"/>
    <w:rsid w:val="00327EEA"/>
    <w:rsid w:val="00334D91"/>
    <w:rsid w:val="003842DA"/>
    <w:rsid w:val="003D1F8B"/>
    <w:rsid w:val="003F4172"/>
    <w:rsid w:val="0041603D"/>
    <w:rsid w:val="00445135"/>
    <w:rsid w:val="00457374"/>
    <w:rsid w:val="004806D4"/>
    <w:rsid w:val="00485B4A"/>
    <w:rsid w:val="004A1896"/>
    <w:rsid w:val="004B1718"/>
    <w:rsid w:val="004B5A27"/>
    <w:rsid w:val="004C6CD3"/>
    <w:rsid w:val="00516164"/>
    <w:rsid w:val="00522AD3"/>
    <w:rsid w:val="0053562F"/>
    <w:rsid w:val="005505C2"/>
    <w:rsid w:val="0059419B"/>
    <w:rsid w:val="005A0EDE"/>
    <w:rsid w:val="005C78BE"/>
    <w:rsid w:val="005D3332"/>
    <w:rsid w:val="005D3746"/>
    <w:rsid w:val="005E4160"/>
    <w:rsid w:val="006006D0"/>
    <w:rsid w:val="0060499E"/>
    <w:rsid w:val="006175F1"/>
    <w:rsid w:val="0063251A"/>
    <w:rsid w:val="00640796"/>
    <w:rsid w:val="00660988"/>
    <w:rsid w:val="00664341"/>
    <w:rsid w:val="00665736"/>
    <w:rsid w:val="00677467"/>
    <w:rsid w:val="00681E41"/>
    <w:rsid w:val="006C4248"/>
    <w:rsid w:val="006F20F0"/>
    <w:rsid w:val="006F46C2"/>
    <w:rsid w:val="006F7BA3"/>
    <w:rsid w:val="0070253C"/>
    <w:rsid w:val="007074F7"/>
    <w:rsid w:val="007729D0"/>
    <w:rsid w:val="0078165E"/>
    <w:rsid w:val="00793BF8"/>
    <w:rsid w:val="007A525A"/>
    <w:rsid w:val="007A75FF"/>
    <w:rsid w:val="007B2150"/>
    <w:rsid w:val="007B4222"/>
    <w:rsid w:val="007C2EDF"/>
    <w:rsid w:val="007E63FD"/>
    <w:rsid w:val="0080076D"/>
    <w:rsid w:val="008149A6"/>
    <w:rsid w:val="008251A1"/>
    <w:rsid w:val="00826F25"/>
    <w:rsid w:val="008313C1"/>
    <w:rsid w:val="008357F2"/>
    <w:rsid w:val="00840516"/>
    <w:rsid w:val="0084337D"/>
    <w:rsid w:val="008C132C"/>
    <w:rsid w:val="008E6076"/>
    <w:rsid w:val="008F6513"/>
    <w:rsid w:val="009165F3"/>
    <w:rsid w:val="00926318"/>
    <w:rsid w:val="0093157D"/>
    <w:rsid w:val="00940EB3"/>
    <w:rsid w:val="00961822"/>
    <w:rsid w:val="00974A44"/>
    <w:rsid w:val="009876BA"/>
    <w:rsid w:val="009A4755"/>
    <w:rsid w:val="009A7E2C"/>
    <w:rsid w:val="00A14F10"/>
    <w:rsid w:val="00A21193"/>
    <w:rsid w:val="00A34215"/>
    <w:rsid w:val="00A41B03"/>
    <w:rsid w:val="00A46D09"/>
    <w:rsid w:val="00A57586"/>
    <w:rsid w:val="00A7019E"/>
    <w:rsid w:val="00A8604F"/>
    <w:rsid w:val="00AA56E8"/>
    <w:rsid w:val="00AA632F"/>
    <w:rsid w:val="00AB6887"/>
    <w:rsid w:val="00AC2CAD"/>
    <w:rsid w:val="00AD1D12"/>
    <w:rsid w:val="00AD2094"/>
    <w:rsid w:val="00AE0D39"/>
    <w:rsid w:val="00B22891"/>
    <w:rsid w:val="00B253E4"/>
    <w:rsid w:val="00B43565"/>
    <w:rsid w:val="00B555F9"/>
    <w:rsid w:val="00B87110"/>
    <w:rsid w:val="00BB2180"/>
    <w:rsid w:val="00BD2F96"/>
    <w:rsid w:val="00BE6DA6"/>
    <w:rsid w:val="00C024C1"/>
    <w:rsid w:val="00C074F7"/>
    <w:rsid w:val="00C25FBF"/>
    <w:rsid w:val="00C34B3E"/>
    <w:rsid w:val="00C43DEC"/>
    <w:rsid w:val="00C56EE4"/>
    <w:rsid w:val="00C64A21"/>
    <w:rsid w:val="00C76C63"/>
    <w:rsid w:val="00CB014C"/>
    <w:rsid w:val="00CD72C2"/>
    <w:rsid w:val="00D01834"/>
    <w:rsid w:val="00D05E53"/>
    <w:rsid w:val="00D16A04"/>
    <w:rsid w:val="00D31459"/>
    <w:rsid w:val="00D553B8"/>
    <w:rsid w:val="00DA3274"/>
    <w:rsid w:val="00DB230A"/>
    <w:rsid w:val="00DC2903"/>
    <w:rsid w:val="00DD0702"/>
    <w:rsid w:val="00DD3BBB"/>
    <w:rsid w:val="00E16CA6"/>
    <w:rsid w:val="00E33A76"/>
    <w:rsid w:val="00E44715"/>
    <w:rsid w:val="00E62AC1"/>
    <w:rsid w:val="00E73898"/>
    <w:rsid w:val="00E820B4"/>
    <w:rsid w:val="00E85980"/>
    <w:rsid w:val="00EA3E08"/>
    <w:rsid w:val="00ED1E9E"/>
    <w:rsid w:val="00EE5F8D"/>
    <w:rsid w:val="00EF1354"/>
    <w:rsid w:val="00EF72E3"/>
    <w:rsid w:val="00F4429E"/>
    <w:rsid w:val="00F456E5"/>
    <w:rsid w:val="00F74C2B"/>
    <w:rsid w:val="00F93657"/>
    <w:rsid w:val="00FA7D76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5267"/>
  <w15:chartTrackingRefBased/>
  <w15:docId w15:val="{317864E7-7025-4A34-9AE9-5D641C85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65F3"/>
    <w:rPr>
      <w:i/>
      <w:iCs/>
    </w:rPr>
  </w:style>
  <w:style w:type="character" w:styleId="Hyperlink">
    <w:name w:val="Hyperlink"/>
    <w:basedOn w:val="DefaultParagraphFont"/>
    <w:uiPriority w:val="99"/>
    <w:unhideWhenUsed/>
    <w:rsid w:val="009165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13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https://my.chartered.college/impact_article/a-framework-for-defining-and-assessing-creative-thinking/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r.ac.uk/resources/creativitycommission/DurhamReport.pdf" TargetMode="External"/><Relationship Id="rId5" Type="http://schemas.openxmlformats.org/officeDocument/2006/relationships/hyperlink" Target="http://danielschristian.com/learning-ecosystems/2013/08/21/barriers-to-creativity-in-education-educators-and-parents-grade-the-system-adobe/" TargetMode="External"/><Relationship Id="rId4" Type="http://schemas.openxmlformats.org/officeDocument/2006/relationships/hyperlink" Target="mailto:Paul.Sowden@winchester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Sowden</dc:creator>
  <cp:keywords/>
  <dc:description/>
  <cp:lastModifiedBy>Paul Sowden</cp:lastModifiedBy>
  <cp:revision>3</cp:revision>
  <dcterms:created xsi:type="dcterms:W3CDTF">2022-02-23T10:16:00Z</dcterms:created>
  <dcterms:modified xsi:type="dcterms:W3CDTF">2022-02-23T10:24:00Z</dcterms:modified>
</cp:coreProperties>
</file>